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46A" w:rsidRPr="003B2F61" w:rsidRDefault="00B3046A" w:rsidP="002C3BD3">
      <w:pPr>
        <w:pStyle w:val="A-WriteonLines"/>
        <w:spacing w:after="0"/>
        <w:rPr>
          <w:rFonts w:cs="Arial"/>
        </w:rPr>
      </w:pPr>
      <w:r w:rsidRPr="003B2F61">
        <w:rPr>
          <w:rFonts w:cs="Arial"/>
        </w:rPr>
        <w:t>Name _________________________________________________</w:t>
      </w:r>
      <w:r w:rsidRPr="003B2F61">
        <w:rPr>
          <w:rFonts w:cs="Arial"/>
        </w:rPr>
        <w:br/>
      </w:r>
    </w:p>
    <w:p w:rsidR="00B3046A" w:rsidRPr="003B2F61" w:rsidRDefault="00B3046A" w:rsidP="006E6A78">
      <w:pPr>
        <w:pStyle w:val="A-BH-spaceafter"/>
        <w:spacing w:before="240" w:after="160"/>
      </w:pPr>
      <w:r w:rsidRPr="003B2F61">
        <w:t>So Much Has Changed.</w:t>
      </w:r>
      <w:r w:rsidRPr="003B2F61">
        <w:t> </w:t>
      </w:r>
      <w:r w:rsidRPr="003B2F61">
        <w:t>.</w:t>
      </w:r>
      <w:r w:rsidRPr="003B2F61">
        <w:t> </w:t>
      </w:r>
      <w:r w:rsidRPr="003B2F61">
        <w:t>.</w:t>
      </w:r>
      <w:r w:rsidRPr="003B2F61">
        <w:t> </w:t>
      </w:r>
      <w:r w:rsidRPr="003B2F61">
        <w:t>.</w:t>
      </w:r>
      <w:r w:rsidRPr="003B2F61">
        <w:t> </w:t>
      </w:r>
      <w:r w:rsidRPr="003B2F61">
        <w:t>How Much Has Stayed the Same?</w:t>
      </w:r>
    </w:p>
    <w:p w:rsidR="00B3046A" w:rsidRPr="003B2F61" w:rsidRDefault="00B3046A" w:rsidP="006B6AB0">
      <w:pPr>
        <w:pStyle w:val="A-Paragraph-spaceafter"/>
        <w:rPr>
          <w:rFonts w:cs="Arial"/>
        </w:rPr>
      </w:pPr>
      <w:r w:rsidRPr="003B2F61">
        <w:rPr>
          <w:rFonts w:cs="Arial"/>
        </w:rPr>
        <w:t xml:space="preserve">Compare the information about first-century Palestine on the left to our society today. </w:t>
      </w:r>
      <w:r w:rsidR="006B6AB0" w:rsidRPr="003B2F61">
        <w:rPr>
          <w:rFonts w:cs="Arial"/>
        </w:rPr>
        <w:t>Note similarities or differences</w:t>
      </w:r>
      <w:r w:rsidRPr="003B2F61">
        <w:rPr>
          <w:rFonts w:cs="Arial"/>
        </w:rPr>
        <w:t xml:space="preserve"> in the second column. Take time to look up answers that you </w:t>
      </w:r>
      <w:r w:rsidR="00D82AAE" w:rsidRPr="003B2F61">
        <w:rPr>
          <w:rFonts w:cs="Arial"/>
        </w:rPr>
        <w:t>don’</w:t>
      </w:r>
      <w:r w:rsidRPr="003B2F61">
        <w:rPr>
          <w:rFonts w:cs="Arial"/>
        </w:rPr>
        <w:t>t know for sure, as you will have to answer some questions in the large group following this activity.</w:t>
      </w:r>
    </w:p>
    <w:tbl>
      <w:tblPr>
        <w:tblStyle w:val="TableGrid"/>
        <w:tblW w:w="10080" w:type="dxa"/>
        <w:tblInd w:w="-1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5220"/>
      </w:tblGrid>
      <w:tr w:rsidR="0080471C" w:rsidRPr="003B2F61" w:rsidTr="006E6A78">
        <w:trPr>
          <w:trHeight w:val="345"/>
        </w:trPr>
        <w:tc>
          <w:tcPr>
            <w:tcW w:w="486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471C" w:rsidRPr="003B2F61" w:rsidRDefault="0080471C" w:rsidP="0080471C">
            <w:pPr>
              <w:pStyle w:val="A-ChartDH"/>
              <w:rPr>
                <w:rFonts w:cs="Arial"/>
                <w:sz w:val="20"/>
                <w:szCs w:val="20"/>
              </w:rPr>
            </w:pPr>
            <w:r w:rsidRPr="003B2F61">
              <w:rPr>
                <w:rFonts w:cs="Arial"/>
                <w:sz w:val="20"/>
                <w:szCs w:val="20"/>
              </w:rPr>
              <w:t>First-Century Palestine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471C" w:rsidRPr="003B2F61" w:rsidRDefault="0080471C" w:rsidP="0080471C">
            <w:pPr>
              <w:pStyle w:val="A-ChartDH"/>
              <w:rPr>
                <w:rFonts w:cs="Arial"/>
                <w:sz w:val="20"/>
                <w:szCs w:val="20"/>
              </w:rPr>
            </w:pPr>
            <w:r w:rsidRPr="003B2F61">
              <w:rPr>
                <w:rFonts w:cs="Arial"/>
                <w:sz w:val="20"/>
                <w:szCs w:val="20"/>
              </w:rPr>
              <w:t>Modern Day</w:t>
            </w:r>
          </w:p>
        </w:tc>
      </w:tr>
      <w:tr w:rsidR="002C2DCF" w:rsidRPr="003B2F61" w:rsidTr="006E6A78">
        <w:trPr>
          <w:trHeight w:val="318"/>
        </w:trPr>
        <w:tc>
          <w:tcPr>
            <w:tcW w:w="10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2DCF" w:rsidRPr="003B2F61" w:rsidRDefault="002C2DCF" w:rsidP="0080471C">
            <w:pPr>
              <w:pStyle w:val="A-ChartDH"/>
              <w:rPr>
                <w:rFonts w:cs="Arial"/>
                <w:caps/>
                <w:sz w:val="18"/>
                <w:szCs w:val="18"/>
              </w:rPr>
            </w:pPr>
            <w:r w:rsidRPr="003B2F61">
              <w:rPr>
                <w:rFonts w:cs="Arial"/>
                <w:caps/>
                <w:sz w:val="18"/>
                <w:szCs w:val="18"/>
              </w:rPr>
              <w:t>Employment</w:t>
            </w:r>
          </w:p>
        </w:tc>
      </w:tr>
      <w:tr w:rsidR="002C2DCF" w:rsidRPr="003B2F61" w:rsidTr="006E6A78">
        <w:trPr>
          <w:cantSplit/>
          <w:trHeight w:val="1013"/>
        </w:trPr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2DCF" w:rsidRPr="003B2F61" w:rsidRDefault="002C2DCF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Women’s work was domestic:</w:t>
            </w:r>
            <w:r w:rsidRPr="003B2F61">
              <w:rPr>
                <w:rFonts w:cs="Arial"/>
                <w:b w:val="0"/>
              </w:rPr>
              <w:tab/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getting water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cooking food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making clothes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caring for children</w:t>
            </w:r>
          </w:p>
        </w:tc>
        <w:tc>
          <w:tcPr>
            <w:tcW w:w="5220" w:type="dxa"/>
            <w:shd w:val="clear" w:color="auto" w:fill="auto"/>
          </w:tcPr>
          <w:p w:rsidR="002C2DCF" w:rsidRPr="003B2F61" w:rsidRDefault="002C2DCF" w:rsidP="00833468">
            <w:pPr>
              <w:pStyle w:val="A-CH-nospaceabove"/>
              <w:spacing w:after="80"/>
            </w:pPr>
          </w:p>
        </w:tc>
      </w:tr>
      <w:tr w:rsidR="002C2DCF" w:rsidRPr="003B2F61" w:rsidTr="006E6A78">
        <w:trPr>
          <w:cantSplit/>
          <w:trHeight w:val="1004"/>
        </w:trPr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2DCF" w:rsidRPr="003B2F61" w:rsidRDefault="002C2DCF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Men’s work was mostly agricultural: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farming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growing crops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raising animals</w:t>
            </w:r>
          </w:p>
          <w:p w:rsidR="002C2DCF" w:rsidRPr="003B2F61" w:rsidRDefault="002C2DCF" w:rsidP="003B2F61">
            <w:pPr>
              <w:pStyle w:val="A-ChartText-bulletlist"/>
              <w:spacing w:before="0" w:after="0" w:line="276" w:lineRule="auto"/>
            </w:pPr>
            <w:r w:rsidRPr="003B2F61">
              <w:t>fishing</w:t>
            </w:r>
          </w:p>
        </w:tc>
        <w:tc>
          <w:tcPr>
            <w:tcW w:w="5220" w:type="dxa"/>
            <w:shd w:val="clear" w:color="auto" w:fill="auto"/>
          </w:tcPr>
          <w:p w:rsidR="002C2DCF" w:rsidRPr="003B2F61" w:rsidRDefault="002C2DCF" w:rsidP="00833468">
            <w:pPr>
              <w:pStyle w:val="A-CH-nospaceabove"/>
              <w:spacing w:after="80"/>
            </w:pPr>
          </w:p>
        </w:tc>
      </w:tr>
      <w:tr w:rsidR="002C2DCF" w:rsidRPr="003B2F61" w:rsidTr="006E6A78">
        <w:trPr>
          <w:cantSplit/>
          <w:trHeight w:val="814"/>
        </w:trPr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2DCF" w:rsidRPr="003B2F61" w:rsidRDefault="002C2DCF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Many men worked as tenant farmers because they couldn’t afford to own their own land.</w:t>
            </w:r>
          </w:p>
        </w:tc>
        <w:tc>
          <w:tcPr>
            <w:tcW w:w="5220" w:type="dxa"/>
            <w:shd w:val="clear" w:color="auto" w:fill="auto"/>
          </w:tcPr>
          <w:p w:rsidR="002C2DCF" w:rsidRPr="003B2F61" w:rsidRDefault="002C2DCF" w:rsidP="00833468">
            <w:pPr>
              <w:pStyle w:val="A-CH-nospaceabove"/>
              <w:spacing w:after="80"/>
            </w:pPr>
          </w:p>
        </w:tc>
      </w:tr>
      <w:tr w:rsidR="002C2DCF" w:rsidRPr="003B2F61" w:rsidTr="006E6A78">
        <w:trPr>
          <w:cantSplit/>
          <w:trHeight w:val="778"/>
        </w:trPr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2DCF" w:rsidRPr="003B2F61" w:rsidRDefault="002C2DCF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Some men were craftsmen or worked for the government.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auto"/>
          </w:tcPr>
          <w:p w:rsidR="002C2DCF" w:rsidRPr="003B2F61" w:rsidRDefault="002C2DCF" w:rsidP="00833468">
            <w:pPr>
              <w:pStyle w:val="A-CH-nospaceabove"/>
              <w:spacing w:after="80"/>
            </w:pPr>
          </w:p>
        </w:tc>
      </w:tr>
      <w:tr w:rsidR="00A11E4A" w:rsidRPr="003B2F61" w:rsidTr="006E6A78">
        <w:trPr>
          <w:cantSplit/>
          <w:trHeight w:val="291"/>
        </w:trPr>
        <w:tc>
          <w:tcPr>
            <w:tcW w:w="10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1E4A" w:rsidRPr="003B2F61" w:rsidRDefault="00A11E4A" w:rsidP="002C3BD3">
            <w:pPr>
              <w:pStyle w:val="A-ChartDH"/>
              <w:rPr>
                <w:rFonts w:cs="Arial"/>
                <w:caps/>
                <w:sz w:val="18"/>
                <w:szCs w:val="18"/>
              </w:rPr>
            </w:pPr>
            <w:r w:rsidRPr="003B2F61">
              <w:rPr>
                <w:rFonts w:cs="Arial"/>
                <w:caps/>
                <w:sz w:val="18"/>
                <w:szCs w:val="18"/>
              </w:rPr>
              <w:t>Technology and Machines</w:t>
            </w:r>
          </w:p>
        </w:tc>
      </w:tr>
      <w:tr w:rsidR="00A11E4A" w:rsidRPr="003B2F61" w:rsidTr="006E6A78">
        <w:trPr>
          <w:cantSplit/>
          <w:trHeight w:val="1034"/>
        </w:trPr>
        <w:tc>
          <w:tcPr>
            <w:tcW w:w="486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A11E4A" w:rsidRPr="003B2F61" w:rsidRDefault="00A11E4A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No electricity:</w:t>
            </w:r>
          </w:p>
          <w:p w:rsidR="00A11E4A" w:rsidRPr="003B2F61" w:rsidRDefault="00A11E4A" w:rsidP="003B2F61">
            <w:pPr>
              <w:pStyle w:val="A-ChartText-bulletlist"/>
              <w:spacing w:before="0" w:after="0" w:line="276" w:lineRule="auto"/>
            </w:pPr>
            <w:r w:rsidRPr="003B2F61">
              <w:t>no electric lights</w:t>
            </w:r>
          </w:p>
          <w:p w:rsidR="00A11E4A" w:rsidRPr="003B2F61" w:rsidRDefault="00A11E4A" w:rsidP="003B2F61">
            <w:pPr>
              <w:pStyle w:val="A-ChartText-bulletlist"/>
              <w:spacing w:before="0" w:after="0" w:line="276" w:lineRule="auto"/>
            </w:pPr>
            <w:r w:rsidRPr="003B2F61">
              <w:t>no refrigeration</w:t>
            </w:r>
          </w:p>
          <w:p w:rsidR="00A11E4A" w:rsidRPr="003B2F61" w:rsidRDefault="00A11E4A" w:rsidP="003B2F61">
            <w:pPr>
              <w:pStyle w:val="A-ChartText-bulletlist"/>
              <w:spacing w:before="0" w:after="0" w:line="276" w:lineRule="auto"/>
            </w:pPr>
            <w:r w:rsidRPr="003B2F61">
              <w:t>no air conditioning/heating</w:t>
            </w:r>
          </w:p>
          <w:p w:rsidR="00A11E4A" w:rsidRPr="003B2F61" w:rsidRDefault="00A11E4A" w:rsidP="003B2F61">
            <w:pPr>
              <w:pStyle w:val="A-ChartText-bulletlist"/>
              <w:spacing w:before="0" w:after="0" w:line="276" w:lineRule="auto"/>
              <w:ind w:left="173" w:hanging="187"/>
            </w:pPr>
            <w:r w:rsidRPr="003B2F61">
              <w:t>no washing machines/dryers</w:t>
            </w: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A11E4A" w:rsidRPr="003B2F61" w:rsidRDefault="00A11E4A" w:rsidP="003B2F61">
            <w:pPr>
              <w:pStyle w:val="A-CH-nospaceabove"/>
              <w:spacing w:after="80" w:line="276" w:lineRule="auto"/>
            </w:pPr>
          </w:p>
        </w:tc>
      </w:tr>
      <w:tr w:rsidR="00A11E4A" w:rsidRPr="003B2F61" w:rsidTr="006E6A78">
        <w:trPr>
          <w:cantSplit/>
          <w:trHeight w:val="818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</w:tcMar>
          </w:tcPr>
          <w:p w:rsidR="00A11E4A" w:rsidRPr="003B2F61" w:rsidRDefault="00A11E4A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Communication was by word of mouth or currier.</w:t>
            </w:r>
          </w:p>
        </w:tc>
        <w:tc>
          <w:tcPr>
            <w:tcW w:w="5220" w:type="dxa"/>
          </w:tcPr>
          <w:p w:rsidR="00A11E4A" w:rsidRPr="003B2F61" w:rsidRDefault="00A11E4A" w:rsidP="003B2F61">
            <w:pPr>
              <w:pStyle w:val="A-CH-nospaceabove"/>
              <w:spacing w:after="80" w:line="276" w:lineRule="auto"/>
            </w:pPr>
          </w:p>
        </w:tc>
      </w:tr>
      <w:tr w:rsidR="00A11E4A" w:rsidRPr="003B2F61" w:rsidTr="006E6A78">
        <w:trPr>
          <w:cantSplit/>
          <w:trHeight w:val="872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</w:tcMar>
          </w:tcPr>
          <w:p w:rsidR="00A11E4A" w:rsidRPr="003B2F61" w:rsidRDefault="00A11E4A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Most people couldn’t read or write.</w:t>
            </w:r>
          </w:p>
          <w:p w:rsidR="00A11E4A" w:rsidRPr="003B2F61" w:rsidRDefault="00A11E4A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</w:p>
        </w:tc>
        <w:tc>
          <w:tcPr>
            <w:tcW w:w="5220" w:type="dxa"/>
          </w:tcPr>
          <w:p w:rsidR="00A11E4A" w:rsidRPr="003B2F61" w:rsidRDefault="00A11E4A" w:rsidP="003B2F61">
            <w:pPr>
              <w:pStyle w:val="A-CH-nospaceabove"/>
              <w:spacing w:after="80" w:line="276" w:lineRule="auto"/>
            </w:pPr>
          </w:p>
        </w:tc>
      </w:tr>
      <w:tr w:rsidR="00A11E4A" w:rsidRPr="003B2F61" w:rsidTr="006E6A78">
        <w:trPr>
          <w:cantSplit/>
          <w:trHeight w:val="917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</w:tcMar>
          </w:tcPr>
          <w:p w:rsidR="00A11E4A" w:rsidRPr="003B2F61" w:rsidRDefault="00A11E4A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There was no indoor plumbing / running water.</w:t>
            </w:r>
          </w:p>
          <w:p w:rsidR="00A11E4A" w:rsidRPr="003B2F61" w:rsidRDefault="00A11E4A" w:rsidP="003B2F61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</w:p>
        </w:tc>
        <w:tc>
          <w:tcPr>
            <w:tcW w:w="5220" w:type="dxa"/>
          </w:tcPr>
          <w:p w:rsidR="00A11E4A" w:rsidRPr="003B2F61" w:rsidRDefault="00A11E4A" w:rsidP="003B2F61">
            <w:pPr>
              <w:pStyle w:val="A-CH-nospaceabove"/>
              <w:spacing w:after="80" w:line="276" w:lineRule="auto"/>
            </w:pPr>
          </w:p>
        </w:tc>
      </w:tr>
      <w:tr w:rsidR="002C3BD3" w:rsidRPr="003B2F61" w:rsidTr="006E6A78">
        <w:trPr>
          <w:trHeight w:val="345"/>
        </w:trPr>
        <w:tc>
          <w:tcPr>
            <w:tcW w:w="486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BD3" w:rsidRPr="003B2F61" w:rsidRDefault="00EA5696" w:rsidP="002C3BD3">
            <w:pPr>
              <w:pStyle w:val="A-ChartDH"/>
              <w:rPr>
                <w:rFonts w:cs="Arial"/>
                <w:sz w:val="20"/>
                <w:szCs w:val="20"/>
              </w:rPr>
            </w:pPr>
            <w:r w:rsidRPr="003B2F61">
              <w:rPr>
                <w:rFonts w:cs="Arial"/>
                <w:b w:val="0"/>
                <w:sz w:val="24"/>
                <w:szCs w:val="20"/>
              </w:rPr>
              <w:lastRenderedPageBreak/>
              <w:br w:type="page"/>
            </w:r>
            <w:r w:rsidR="002C3BD3" w:rsidRPr="003B2F61">
              <w:rPr>
                <w:rFonts w:cs="Arial"/>
                <w:sz w:val="20"/>
                <w:szCs w:val="20"/>
              </w:rPr>
              <w:t>First-Century Palestine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BD3" w:rsidRPr="003B2F61" w:rsidRDefault="002C3BD3" w:rsidP="002C3BD3">
            <w:pPr>
              <w:pStyle w:val="A-ChartDH"/>
              <w:rPr>
                <w:rFonts w:cs="Arial"/>
                <w:sz w:val="20"/>
                <w:szCs w:val="20"/>
              </w:rPr>
            </w:pPr>
            <w:r w:rsidRPr="003B2F61">
              <w:rPr>
                <w:rFonts w:cs="Arial"/>
                <w:sz w:val="20"/>
                <w:szCs w:val="20"/>
              </w:rPr>
              <w:t>Modern Day</w:t>
            </w:r>
          </w:p>
        </w:tc>
      </w:tr>
      <w:tr w:rsidR="002C3BD3" w:rsidRPr="003B2F61" w:rsidTr="006E6A78">
        <w:trPr>
          <w:trHeight w:val="264"/>
        </w:trPr>
        <w:tc>
          <w:tcPr>
            <w:tcW w:w="10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BD3" w:rsidRPr="003B2F61" w:rsidRDefault="002C3BD3" w:rsidP="002C3BD3">
            <w:pPr>
              <w:pStyle w:val="A-ChartDH"/>
              <w:rPr>
                <w:rFonts w:cs="Arial"/>
                <w:caps/>
                <w:sz w:val="18"/>
                <w:szCs w:val="18"/>
              </w:rPr>
            </w:pPr>
            <w:r w:rsidRPr="003B2F61">
              <w:rPr>
                <w:rFonts w:cs="Arial"/>
                <w:caps/>
                <w:sz w:val="18"/>
                <w:szCs w:val="18"/>
              </w:rPr>
              <w:t>Patriarchal Society</w:t>
            </w:r>
          </w:p>
        </w:tc>
      </w:tr>
      <w:tr w:rsidR="002C3BD3" w:rsidRPr="003B2F61" w:rsidTr="006E6A78">
        <w:trPr>
          <w:trHeight w:val="652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Men held political power.</w:t>
            </w: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580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Men controlled economic power.</w:t>
            </w:r>
          </w:p>
          <w:p w:rsidR="002C3BD3" w:rsidRPr="003B2F61" w:rsidRDefault="002C3BD3" w:rsidP="006E6A78">
            <w:pPr>
              <w:pStyle w:val="A-ChartText-bulletlist"/>
              <w:numPr>
                <w:ilvl w:val="0"/>
                <w:numId w:val="0"/>
              </w:numPr>
              <w:spacing w:before="0" w:after="0" w:line="276" w:lineRule="auto"/>
              <w:ind w:left="166" w:hanging="166"/>
            </w:pP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598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Men controlled religious power.</w:t>
            </w:r>
            <w:r w:rsidRPr="003B2F61">
              <w:rPr>
                <w:rFonts w:cs="Arial"/>
                <w:b w:val="0"/>
              </w:rPr>
              <w:tab/>
            </w:r>
          </w:p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635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 xml:space="preserve">Men were solely responsible for the economic livelihood </w:t>
            </w:r>
            <w:r w:rsidR="001B7FA4">
              <w:rPr>
                <w:rFonts w:cs="Arial"/>
                <w:b w:val="0"/>
              </w:rPr>
              <w:br/>
            </w:r>
            <w:bookmarkStart w:id="0" w:name="_GoBack"/>
            <w:bookmarkEnd w:id="0"/>
            <w:r w:rsidRPr="003B2F61">
              <w:rPr>
                <w:rFonts w:cs="Arial"/>
                <w:b w:val="0"/>
              </w:rPr>
              <w:t>of their families.</w:t>
            </w:r>
          </w:p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635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Men made all important family decisions, including arranging the marriage of their daughters.</w:t>
            </w: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635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Unmarried women remained living with their parents.</w:t>
            </w:r>
          </w:p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635"/>
        </w:trPr>
        <w:tc>
          <w:tcPr>
            <w:tcW w:w="4860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>Widowed women returned to their parents, married their husband’s brother in order to be provided for, or became beggars.</w:t>
            </w:r>
          </w:p>
        </w:tc>
        <w:tc>
          <w:tcPr>
            <w:tcW w:w="5220" w:type="dxa"/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C3BD3" w:rsidRPr="003B2F61" w:rsidTr="006E6A78">
        <w:trPr>
          <w:trHeight w:val="635"/>
        </w:trPr>
        <w:tc>
          <w:tcPr>
            <w:tcW w:w="486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C3BD3" w:rsidRPr="003B2F61" w:rsidRDefault="002C3BD3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 xml:space="preserve">Women were not permitted to interact with men they were </w:t>
            </w:r>
            <w:r w:rsidR="001B7FA4">
              <w:rPr>
                <w:rFonts w:cs="Arial"/>
                <w:b w:val="0"/>
              </w:rPr>
              <w:br/>
            </w:r>
            <w:r w:rsidRPr="003B2F61">
              <w:rPr>
                <w:rFonts w:cs="Arial"/>
                <w:b w:val="0"/>
              </w:rPr>
              <w:t xml:space="preserve">not related to and were not permitted to speak in public </w:t>
            </w:r>
            <w:r w:rsidR="001B7FA4">
              <w:rPr>
                <w:rFonts w:cs="Arial"/>
                <w:b w:val="0"/>
              </w:rPr>
              <w:br/>
            </w:r>
            <w:r w:rsidRPr="003B2F61">
              <w:rPr>
                <w:rFonts w:cs="Arial"/>
                <w:b w:val="0"/>
              </w:rPr>
              <w:t>to any man.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</w:tcMar>
          </w:tcPr>
          <w:p w:rsidR="002C3BD3" w:rsidRPr="006E6A78" w:rsidRDefault="002C3BD3" w:rsidP="00A11E4A">
            <w:pPr>
              <w:pStyle w:val="A-CH-nospaceabove"/>
              <w:spacing w:after="80"/>
              <w:rPr>
                <w:sz w:val="20"/>
                <w:szCs w:val="20"/>
              </w:rPr>
            </w:pPr>
          </w:p>
        </w:tc>
      </w:tr>
      <w:tr w:rsidR="002D37D6" w:rsidRPr="003B2F61" w:rsidTr="006E6A78">
        <w:trPr>
          <w:trHeight w:val="300"/>
        </w:trPr>
        <w:tc>
          <w:tcPr>
            <w:tcW w:w="10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7D6" w:rsidRPr="003B2F61" w:rsidRDefault="002D37D6" w:rsidP="002D37D6">
            <w:pPr>
              <w:pStyle w:val="A-CH-nospaceabove"/>
              <w:spacing w:after="0"/>
              <w:jc w:val="center"/>
              <w:rPr>
                <w:sz w:val="18"/>
                <w:szCs w:val="18"/>
              </w:rPr>
            </w:pPr>
            <w:r w:rsidRPr="003B2F61">
              <w:rPr>
                <w:caps/>
                <w:sz w:val="18"/>
                <w:szCs w:val="18"/>
              </w:rPr>
              <w:t>cultural priorities</w:t>
            </w:r>
          </w:p>
        </w:tc>
      </w:tr>
      <w:tr w:rsidR="002D37D6" w:rsidRPr="003B2F61" w:rsidTr="006E6A78">
        <w:trPr>
          <w:cantSplit/>
          <w:trHeight w:val="1376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0" w:type="dxa"/>
            </w:tcMar>
          </w:tcPr>
          <w:p w:rsidR="002D37D6" w:rsidRPr="003B2F61" w:rsidRDefault="002D37D6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  <w:sz w:val="24"/>
              </w:rPr>
            </w:pPr>
            <w:r w:rsidRPr="003B2F61">
              <w:rPr>
                <w:rFonts w:cs="Arial"/>
                <w:b w:val="0"/>
              </w:rPr>
              <w:t>Commitment to family:</w:t>
            </w:r>
          </w:p>
          <w:p w:rsidR="002D37D6" w:rsidRPr="003B2F61" w:rsidRDefault="002D37D6" w:rsidP="006E6A78">
            <w:pPr>
              <w:pStyle w:val="A-ChartText-bulletlist"/>
              <w:spacing w:before="0" w:after="0" w:line="276" w:lineRule="auto"/>
            </w:pPr>
            <w:r w:rsidRPr="003B2F61">
              <w:t>Most families lived in the same village.</w:t>
            </w:r>
          </w:p>
          <w:p w:rsidR="002D37D6" w:rsidRPr="003B2F61" w:rsidRDefault="002D37D6" w:rsidP="006E6A78">
            <w:pPr>
              <w:pStyle w:val="A-ChartText-bulletlist"/>
              <w:spacing w:before="0" w:after="0" w:line="276" w:lineRule="auto"/>
            </w:pPr>
            <w:r w:rsidRPr="003B2F61">
              <w:t>You would be as close to your aunts, uncles, cousins, and grandparents as you were to your own parents and siblings.</w:t>
            </w:r>
          </w:p>
          <w:p w:rsidR="002D37D6" w:rsidRPr="003B2F61" w:rsidRDefault="002D37D6" w:rsidP="006E6A78">
            <w:pPr>
              <w:pStyle w:val="A-ChartText-bulletlist"/>
              <w:spacing w:before="0" w:after="0" w:line="276" w:lineRule="auto"/>
            </w:pPr>
            <w:r w:rsidRPr="003B2F61">
              <w:t>You would never do anything that your family would disapprove of or be embarrassed by.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2D37D6" w:rsidRPr="003B2F61" w:rsidRDefault="002D37D6" w:rsidP="00A11E4A">
            <w:pPr>
              <w:pStyle w:val="A-CH-nospaceabove"/>
              <w:spacing w:after="80"/>
            </w:pPr>
          </w:p>
        </w:tc>
      </w:tr>
      <w:tr w:rsidR="002B29B6" w:rsidRPr="003B2F61" w:rsidTr="006E6A78">
        <w:trPr>
          <w:cantSplit/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B29B6" w:rsidRPr="003B2F61" w:rsidRDefault="002B29B6" w:rsidP="002B29B6">
            <w:pPr>
              <w:pStyle w:val="A-CH-nospaceabove"/>
              <w:spacing w:after="0"/>
              <w:jc w:val="center"/>
              <w:rPr>
                <w:sz w:val="18"/>
                <w:szCs w:val="18"/>
              </w:rPr>
            </w:pPr>
            <w:r w:rsidRPr="003B2F61">
              <w:rPr>
                <w:caps/>
                <w:sz w:val="18"/>
                <w:szCs w:val="18"/>
              </w:rPr>
              <w:t>social class</w:t>
            </w:r>
          </w:p>
        </w:tc>
      </w:tr>
      <w:tr w:rsidR="002B29B6" w:rsidRPr="003B2F61" w:rsidTr="006E6A78">
        <w:trPr>
          <w:cantSplit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</w:tcMar>
            <w:vAlign w:val="center"/>
          </w:tcPr>
          <w:p w:rsidR="002B29B6" w:rsidRPr="003B2F61" w:rsidRDefault="002B29B6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  <w:sz w:val="20"/>
              </w:rPr>
            </w:pPr>
            <w:r w:rsidRPr="003B2F61">
              <w:rPr>
                <w:rFonts w:cs="Arial"/>
                <w:b w:val="0"/>
              </w:rPr>
              <w:t>Most people would be considered poor by our standards today: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>They lived in homes built of stone or dried mud and straw.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>They often sold themselves as indentured servants to the wealthy in order to make enough money to survive.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8" w:space="0" w:color="auto"/>
            </w:tcBorders>
          </w:tcPr>
          <w:p w:rsidR="002B29B6" w:rsidRPr="003B2F61" w:rsidRDefault="002B29B6" w:rsidP="00A11E4A">
            <w:pPr>
              <w:pStyle w:val="A-CH-nospaceabove"/>
              <w:spacing w:after="80"/>
            </w:pPr>
          </w:p>
        </w:tc>
      </w:tr>
      <w:tr w:rsidR="002B29B6" w:rsidRPr="003B2F61" w:rsidTr="006E6A78">
        <w:trPr>
          <w:cantSplit/>
          <w:trHeight w:val="2078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</w:tcMar>
          </w:tcPr>
          <w:p w:rsidR="002B29B6" w:rsidRPr="003B2F61" w:rsidRDefault="002B29B6" w:rsidP="006E6A78">
            <w:pPr>
              <w:pStyle w:val="A-ChartText-boldcells"/>
              <w:spacing w:before="0" w:after="0" w:line="276" w:lineRule="auto"/>
              <w:rPr>
                <w:rFonts w:cs="Arial"/>
                <w:b w:val="0"/>
              </w:rPr>
            </w:pPr>
            <w:r w:rsidRPr="003B2F61">
              <w:rPr>
                <w:rFonts w:cs="Arial"/>
                <w:b w:val="0"/>
              </w:rPr>
              <w:t xml:space="preserve">A small percentage of the population was wealthy. They were called elites. 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>They owned large, beautiful homes.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>They had indoor plumbing.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>They had enough room and funds for entertaining.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 xml:space="preserve">They owned the majority of the land, which they leased </w:t>
            </w:r>
            <w:r w:rsidR="00E870A4">
              <w:br/>
            </w:r>
            <w:r w:rsidRPr="003B2F61">
              <w:t>out to tenant farmers.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>They ate and drank expensive food and wine.</w:t>
            </w:r>
          </w:p>
          <w:p w:rsidR="002B29B6" w:rsidRPr="003B2F61" w:rsidRDefault="002B29B6" w:rsidP="006E6A78">
            <w:pPr>
              <w:pStyle w:val="A-ChartText-bulletlist"/>
              <w:spacing w:before="0" w:after="0" w:line="276" w:lineRule="auto"/>
            </w:pPr>
            <w:r w:rsidRPr="003B2F61">
              <w:t xml:space="preserve">They took advantage of the poor through low wages </w:t>
            </w:r>
            <w:r w:rsidR="009D114C">
              <w:br/>
            </w:r>
            <w:r w:rsidRPr="003B2F61">
              <w:t>and heavy taxation.</w:t>
            </w:r>
          </w:p>
        </w:tc>
        <w:tc>
          <w:tcPr>
            <w:tcW w:w="5220" w:type="dxa"/>
            <w:tcBorders>
              <w:top w:val="single" w:sz="8" w:space="0" w:color="auto"/>
              <w:bottom w:val="single" w:sz="4" w:space="0" w:color="auto"/>
            </w:tcBorders>
          </w:tcPr>
          <w:p w:rsidR="002B29B6" w:rsidRPr="003B2F61" w:rsidRDefault="002B29B6" w:rsidP="00A11E4A">
            <w:pPr>
              <w:pStyle w:val="A-CH-nospaceabove"/>
              <w:spacing w:after="80"/>
            </w:pPr>
          </w:p>
        </w:tc>
      </w:tr>
    </w:tbl>
    <w:p w:rsidR="006C199B" w:rsidRPr="003B2F61" w:rsidRDefault="006C199B" w:rsidP="004C1C2C">
      <w:pPr>
        <w:pStyle w:val="A-AnswerKey-EssayAnswers-indent"/>
        <w:ind w:left="0" w:firstLine="0"/>
        <w:rPr>
          <w:rFonts w:cs="Arial"/>
        </w:rPr>
      </w:pPr>
    </w:p>
    <w:sectPr w:rsidR="006C199B" w:rsidRPr="003B2F61" w:rsidSect="006E6A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530" w:right="1260" w:bottom="144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96" w:rsidRDefault="002A5396" w:rsidP="004D0079">
      <w:r>
        <w:separator/>
      </w:r>
    </w:p>
    <w:p w:rsidR="002A5396" w:rsidRDefault="002A5396"/>
  </w:endnote>
  <w:endnote w:type="continuationSeparator" w:id="0">
    <w:p w:rsidR="002A5396" w:rsidRDefault="002A5396" w:rsidP="004D0079">
      <w:r>
        <w:continuationSeparator/>
      </w:r>
    </w:p>
    <w:p w:rsidR="002A5396" w:rsidRDefault="002A5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3F6605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15B2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005992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3F6605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15B2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005992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3313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005992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3313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005992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1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96" w:rsidRDefault="002A5396" w:rsidP="004D0079">
      <w:r>
        <w:separator/>
      </w:r>
    </w:p>
    <w:p w:rsidR="002A5396" w:rsidRDefault="002A5396"/>
  </w:footnote>
  <w:footnote w:type="continuationSeparator" w:id="0">
    <w:p w:rsidR="002A5396" w:rsidRDefault="002A5396" w:rsidP="004D0079">
      <w:r>
        <w:continuationSeparator/>
      </w:r>
    </w:p>
    <w:p w:rsidR="002A5396" w:rsidRDefault="002A5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215B2A" w:rsidP="00634278">
    <w:pPr>
      <w:pStyle w:val="A-Header-articletitlepage2"/>
    </w:pPr>
    <w:r w:rsidRPr="00C12074">
      <w:t>So Much Has Changed</w:t>
    </w:r>
    <w:r>
      <w:t>.</w:t>
    </w:r>
    <w:r>
      <w:t> </w:t>
    </w:r>
    <w:r>
      <w:t>.</w:t>
    </w:r>
    <w:r>
      <w:t> </w:t>
    </w:r>
    <w:r>
      <w:t>.</w:t>
    </w:r>
    <w:r>
      <w:t> </w:t>
    </w:r>
    <w:r>
      <w:t>.</w:t>
    </w:r>
    <w:r>
      <w:t> </w:t>
    </w:r>
    <w:r w:rsidRPr="00C12074">
      <w:t>How Much Has Stayed the Same?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0952BB"/>
    <w:multiLevelType w:val="hybridMultilevel"/>
    <w:tmpl w:val="C9509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41C13"/>
    <w:multiLevelType w:val="hybridMultilevel"/>
    <w:tmpl w:val="5380D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A1014"/>
    <w:multiLevelType w:val="hybridMultilevel"/>
    <w:tmpl w:val="084A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371D8"/>
    <w:multiLevelType w:val="hybridMultilevel"/>
    <w:tmpl w:val="5A6EC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5A07AB"/>
    <w:multiLevelType w:val="hybridMultilevel"/>
    <w:tmpl w:val="B442D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2"/>
  </w:num>
  <w:num w:numId="5">
    <w:abstractNumId w:val="14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6"/>
  </w:num>
  <w:num w:numId="11">
    <w:abstractNumId w:val="5"/>
  </w:num>
  <w:num w:numId="12">
    <w:abstractNumId w:val="4"/>
  </w:num>
  <w:num w:numId="13">
    <w:abstractNumId w:val="10"/>
  </w:num>
  <w:num w:numId="14">
    <w:abstractNumId w:val="13"/>
  </w:num>
  <w:num w:numId="15">
    <w:abstractNumId w:val="9"/>
  </w:num>
  <w:num w:numId="16">
    <w:abstractNumId w:val="6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15C2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14FDB"/>
    <w:rsid w:val="00116200"/>
    <w:rsid w:val="00122197"/>
    <w:rsid w:val="00130456"/>
    <w:rsid w:val="001309E6"/>
    <w:rsid w:val="00130AE1"/>
    <w:rsid w:val="00133139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1C08"/>
    <w:rsid w:val="001B217A"/>
    <w:rsid w:val="001B3767"/>
    <w:rsid w:val="001B4972"/>
    <w:rsid w:val="001B6938"/>
    <w:rsid w:val="001B744F"/>
    <w:rsid w:val="001B7FA4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15B2A"/>
    <w:rsid w:val="00216A52"/>
    <w:rsid w:val="00225121"/>
    <w:rsid w:val="00225B1E"/>
    <w:rsid w:val="00231C40"/>
    <w:rsid w:val="00231F17"/>
    <w:rsid w:val="00235182"/>
    <w:rsid w:val="00236F06"/>
    <w:rsid w:val="00243EC5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5396"/>
    <w:rsid w:val="002A74AD"/>
    <w:rsid w:val="002B29B6"/>
    <w:rsid w:val="002B720A"/>
    <w:rsid w:val="002C2DCF"/>
    <w:rsid w:val="002C3BD3"/>
    <w:rsid w:val="002D0851"/>
    <w:rsid w:val="002D0EB4"/>
    <w:rsid w:val="002D37D6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2F61"/>
    <w:rsid w:val="003C0FC3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3F6605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433F"/>
    <w:rsid w:val="004B7111"/>
    <w:rsid w:val="004C1C2C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8CA"/>
    <w:rsid w:val="00555CB8"/>
    <w:rsid w:val="00555EA6"/>
    <w:rsid w:val="0058460F"/>
    <w:rsid w:val="00584F60"/>
    <w:rsid w:val="0058512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183F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563A6"/>
    <w:rsid w:val="006609CF"/>
    <w:rsid w:val="00670AE9"/>
    <w:rsid w:val="00683227"/>
    <w:rsid w:val="006845FE"/>
    <w:rsid w:val="006907E3"/>
    <w:rsid w:val="0069306F"/>
    <w:rsid w:val="00693D85"/>
    <w:rsid w:val="006A5B02"/>
    <w:rsid w:val="006B3F4F"/>
    <w:rsid w:val="006B6AB0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E6A7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4BD9"/>
    <w:rsid w:val="007554A3"/>
    <w:rsid w:val="00756E31"/>
    <w:rsid w:val="00781027"/>
    <w:rsid w:val="00781585"/>
    <w:rsid w:val="00784075"/>
    <w:rsid w:val="007868B7"/>
    <w:rsid w:val="00786E12"/>
    <w:rsid w:val="00793858"/>
    <w:rsid w:val="007B17B9"/>
    <w:rsid w:val="007B4844"/>
    <w:rsid w:val="007D21A6"/>
    <w:rsid w:val="007D35AA"/>
    <w:rsid w:val="007D41EB"/>
    <w:rsid w:val="007E01EA"/>
    <w:rsid w:val="007E3641"/>
    <w:rsid w:val="007E6DA0"/>
    <w:rsid w:val="007F14E0"/>
    <w:rsid w:val="007F1D2D"/>
    <w:rsid w:val="007F404E"/>
    <w:rsid w:val="008026FF"/>
    <w:rsid w:val="00804709"/>
    <w:rsid w:val="0080471C"/>
    <w:rsid w:val="008111FA"/>
    <w:rsid w:val="00811A84"/>
    <w:rsid w:val="00813FAB"/>
    <w:rsid w:val="00820449"/>
    <w:rsid w:val="00825904"/>
    <w:rsid w:val="00833468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16C7"/>
    <w:rsid w:val="009563C5"/>
    <w:rsid w:val="00967CF7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114C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1E4A"/>
    <w:rsid w:val="00A13B86"/>
    <w:rsid w:val="00A15418"/>
    <w:rsid w:val="00A21D9F"/>
    <w:rsid w:val="00A227F9"/>
    <w:rsid w:val="00A234BF"/>
    <w:rsid w:val="00A238C6"/>
    <w:rsid w:val="00A23D91"/>
    <w:rsid w:val="00A24CE4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8685D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046A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2467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7B54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7D1F"/>
    <w:rsid w:val="00D02316"/>
    <w:rsid w:val="00D039CB"/>
    <w:rsid w:val="00D04A29"/>
    <w:rsid w:val="00D105EA"/>
    <w:rsid w:val="00D14D22"/>
    <w:rsid w:val="00D25838"/>
    <w:rsid w:val="00D27D52"/>
    <w:rsid w:val="00D33298"/>
    <w:rsid w:val="00D36E17"/>
    <w:rsid w:val="00D45298"/>
    <w:rsid w:val="00D57D5E"/>
    <w:rsid w:val="00D64EB1"/>
    <w:rsid w:val="00D73DDC"/>
    <w:rsid w:val="00D802A3"/>
    <w:rsid w:val="00D80DBD"/>
    <w:rsid w:val="00D82358"/>
    <w:rsid w:val="00D82AAE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4086"/>
    <w:rsid w:val="00E412C5"/>
    <w:rsid w:val="00E51E59"/>
    <w:rsid w:val="00E618D3"/>
    <w:rsid w:val="00E70001"/>
    <w:rsid w:val="00E73087"/>
    <w:rsid w:val="00E73F2E"/>
    <w:rsid w:val="00E7545A"/>
    <w:rsid w:val="00E870A4"/>
    <w:rsid w:val="00EA5696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4623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57707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D848-54E7-419F-9374-6174E2B2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206</cp:revision>
  <cp:lastPrinted>2018-08-31T17:16:00Z</cp:lastPrinted>
  <dcterms:created xsi:type="dcterms:W3CDTF">2011-05-03T23:25:00Z</dcterms:created>
  <dcterms:modified xsi:type="dcterms:W3CDTF">2019-02-14T16:26:00Z</dcterms:modified>
</cp:coreProperties>
</file>